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西北政法大学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硕士研究生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学位论文开题管理暂行规定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为了提高我校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/>
          <w:sz w:val="32"/>
          <w:szCs w:val="32"/>
        </w:rPr>
        <w:t>学位授予质量，加强学位授予制度建设，构建以保证学位授予质量为核心的学位授予全环节过程管理模式，</w:t>
      </w:r>
      <w:r>
        <w:rPr>
          <w:rFonts w:ascii="仿宋_GB2312" w:eastAsia="仿宋_GB2312"/>
          <w:sz w:val="32"/>
          <w:szCs w:val="32"/>
        </w:rPr>
        <w:t>加强开题工作质量控制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规范开题程序</w:t>
      </w:r>
      <w:r>
        <w:rPr>
          <w:rFonts w:hint="eastAsia" w:ascii="仿宋_GB2312" w:eastAsia="仿宋_GB2312"/>
          <w:sz w:val="32"/>
          <w:szCs w:val="32"/>
        </w:rPr>
        <w:t>，结合我校实际，制定本规定。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一、开题时间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三年制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/>
          <w:sz w:val="32"/>
          <w:szCs w:val="32"/>
        </w:rPr>
        <w:t>的论文开题工作最晚在第五学期开学后第二周结束前进行；两年制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/>
          <w:sz w:val="32"/>
          <w:szCs w:val="32"/>
        </w:rPr>
        <w:t>的论文开题工作在第三学期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学后第二周结束前进行。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二、选题要求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1.学位论文工作要坚持理论与实际相结合的原则，论文选题要与经济社会发展的现实需要密切结合，紧跟学科发展前沿，具有一定的理论价值和现实意义。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2.选题不宜过于宽泛，要能够合理安排撰写时间，确保在规定期限内完成论文撰写工作。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/>
          <w:sz w:val="32"/>
          <w:szCs w:val="32"/>
        </w:rPr>
        <w:t>在论文选题时应充分与导师沟通，听取导师意见，明确论文研究方向。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三、开题报告内容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/>
          <w:sz w:val="32"/>
          <w:szCs w:val="32"/>
        </w:rPr>
        <w:t>所撰写的开题报告应包含以下内容：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（一）学位论文题目；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（二）选题背景及意义；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（三）国内外研究现状；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（四）研究难点及创新点；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（五）文章的基本框架结构；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（六）研究思路和方法；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（七）撰写进度及计划；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（八）参考文献资料。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四、开题工作流程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1.撰写书面开题报告。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2.导师审核。开题报告应在导师指导下完成，经导师审核通过后方可参加开题。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3.开题。各学院(各专业)应成立开题答辩小组，成员应由3名或5名具有相关专业副高级及以上专业技术职务的专家组成，设组长1名。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开题应就拟定的学位论文题目、选题背景及意义、国内外研究现状、研究难点及创新点、文章的基本框架结构、研究思路和方法、撰写进度及计划、参考文献资料等方面向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/>
          <w:sz w:val="32"/>
          <w:szCs w:val="32"/>
        </w:rPr>
        <w:t>提问，由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/>
          <w:sz w:val="32"/>
          <w:szCs w:val="32"/>
        </w:rPr>
        <w:t>回答。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4.开题结束后，应对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hint="eastAsia" w:ascii="仿宋_GB2312" w:eastAsia="仿宋_GB2312"/>
          <w:sz w:val="32"/>
          <w:szCs w:val="32"/>
        </w:rPr>
        <w:t>的开题报告给出具体的建议和意见。开题报告结论分为两种：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（1）通过，按答辩小组意见修改后进行学位论文撰写工作；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（2）不通过，重新开题，具体时间由各学院和专业自行安排。重新开题仍未通过的须间隔6个月以上再次组织开题。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各学院(各专业)应当安排专人对开题报告答辩会进行记录，会议记录应包括：开题报告答辩会时间及地点、开题答辩小组成员名单、拟定的论文题目及开题答辩小组对开题报告提出的修改意见，并将材料在开题报告结束后报送</w:t>
      </w:r>
      <w:r>
        <w:rPr>
          <w:rFonts w:hint="eastAsia" w:ascii="仿宋_GB2312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eastAsia="仿宋_GB2312"/>
          <w:sz w:val="32"/>
          <w:szCs w:val="32"/>
        </w:rPr>
        <w:t>院备案。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6.自开题通过后满6个月方可提出学位申请。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五、其他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本规定自发布之日起开始执行，由</w:t>
      </w:r>
      <w:r>
        <w:rPr>
          <w:rFonts w:hint="eastAsia" w:ascii="仿宋_GB2312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eastAsia="仿宋_GB2312"/>
          <w:sz w:val="32"/>
          <w:szCs w:val="32"/>
        </w:rPr>
        <w:t>院负责解释。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C55F7"/>
    <w:rsid w:val="476B3D8C"/>
    <w:rsid w:val="4D2C55F7"/>
    <w:rsid w:val="745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2019-07-03T03:09:00Z</dcterms:created>
  <dc:creator>王仕豪</dc:creator>
  <cp:lastModifiedBy>王仕豪</cp:lastModifiedBy>
  <dcterms:modified xsi:type="dcterms:W3CDTF">2019-07-05T09:59:33Z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